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86" w:rsidRPr="009C6886" w:rsidRDefault="009C6886" w:rsidP="009C688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Polska-Gdańsk: Usługi doradcze w zakresie zarządzania projektem</w:t>
      </w:r>
    </w:p>
    <w:p w:rsidR="009C6886" w:rsidRPr="009C6886" w:rsidRDefault="009C6886" w:rsidP="009C688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2019/S 125-305999</w:t>
      </w:r>
    </w:p>
    <w:p w:rsidR="009C6886" w:rsidRPr="009C6886" w:rsidRDefault="009C6886" w:rsidP="009C688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9C6886" w:rsidRPr="009C6886" w:rsidRDefault="009C6886" w:rsidP="009C688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proofErr w:type="spellStart"/>
      <w:r w:rsidRPr="009C688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Legal</w:t>
      </w:r>
      <w:proofErr w:type="spellEnd"/>
      <w:r w:rsidRPr="009C688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 xml:space="preserve"> </w:t>
      </w:r>
      <w:proofErr w:type="spellStart"/>
      <w:r w:rsidRPr="009C688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Basis</w:t>
      </w:r>
      <w:proofErr w:type="spellEnd"/>
      <w:r w:rsidRPr="009C688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: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2014/24/UE</w:t>
      </w:r>
      <w:bookmarkStart w:id="0" w:name="_GoBack"/>
      <w:bookmarkEnd w:id="0"/>
    </w:p>
    <w:p w:rsidR="009C6886" w:rsidRPr="009C6886" w:rsidRDefault="009C6886" w:rsidP="009C688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9C688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Polska Unia Mobilności Aktywnej (PUMA)</w:t>
      </w: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Jana Heweliusza 29</w:t>
      </w: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Gdańsk</w:t>
      </w: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80-861</w:t>
      </w: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Osoba do kontaktów: Rafał </w:t>
      </w:r>
      <w:proofErr w:type="spellStart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Glazik</w:t>
      </w:r>
      <w:proofErr w:type="spellEnd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5" w:history="1">
        <w:r w:rsidRPr="009C688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info@mobilnosc.org</w:t>
        </w:r>
      </w:hyperlink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PL634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adres: </w:t>
      </w:r>
      <w:hyperlink r:id="rId6" w:tgtFrame="_blank" w:history="1">
        <w:r w:rsidRPr="009C688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http://www.mobilnosc.org</w:t>
        </w:r>
      </w:hyperlink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Gmina Miasta Gdańsk</w:t>
      </w: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Nowe Ogrody 8/12</w:t>
      </w: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Gdańsk</w:t>
      </w: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80-803</w:t>
      </w: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7" w:history="1">
        <w:r w:rsidRPr="009C688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umg@gdansk.gda.pl</w:t>
        </w:r>
      </w:hyperlink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PL634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adres: </w:t>
      </w:r>
      <w:hyperlink r:id="rId8" w:tgtFrame="_blank" w:history="1">
        <w:r w:rsidRPr="009C688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http://www.gdansk.pl</w:t>
        </w:r>
      </w:hyperlink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Fundacja </w:t>
      </w:r>
      <w:proofErr w:type="spellStart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Pictec</w:t>
      </w:r>
      <w:proofErr w:type="spellEnd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Wiosenna 52</w:t>
      </w: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Gdańsk</w:t>
      </w: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80-178</w:t>
      </w: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9" w:history="1">
        <w:r w:rsidRPr="009C688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damian.derebecki@pictec.eu</w:t>
        </w:r>
      </w:hyperlink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PL634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adres: </w:t>
      </w:r>
      <w:hyperlink r:id="rId10" w:tgtFrame="_blank" w:history="1">
        <w:r w:rsidRPr="009C688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https://pictec.eu</w:t>
        </w:r>
      </w:hyperlink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Bałtycka Miejscowość Uzdrowiskowa </w:t>
      </w:r>
      <w:proofErr w:type="spellStart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Heringsdorf</w:t>
      </w:r>
      <w:proofErr w:type="spellEnd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proofErr w:type="spellStart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Kurparkstraße</w:t>
      </w:r>
      <w:proofErr w:type="spellEnd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4</w:t>
      </w: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proofErr w:type="spellStart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Ahlbeck</w:t>
      </w:r>
      <w:proofErr w:type="spellEnd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17419</w:t>
      </w: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Niemcy</w:t>
      </w: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1" w:history="1">
        <w:r w:rsidRPr="009C688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sekretariat@ahlbeck.de</w:t>
        </w:r>
      </w:hyperlink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DE80M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adres: </w:t>
      </w:r>
      <w:hyperlink r:id="rId12" w:tgtFrame="_blank" w:history="1">
        <w:r w:rsidRPr="009C688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www.gemeinde-ostseebad-heringsdorf.de</w:t>
        </w:r>
      </w:hyperlink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zamówieniu stosowane jest wspólne udzielanie zamówień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wspólnego zamówienia obejmującego kilka państw – mające zastosowanie krajowe prawo zamówień publicznych: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Polskie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3" w:tgtFrame="_blank" w:history="1">
        <w:r w:rsidRPr="009C688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https://mobilnosc.org</w:t>
        </w:r>
      </w:hyperlink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4" w:tgtFrame="_blank" w:history="1">
        <w:r w:rsidRPr="009C688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https://mobilnosc.org</w:t>
        </w:r>
      </w:hyperlink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na adres podany powyżej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Inny rodzaj: Stowarzyszenie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9C6886" w:rsidRPr="009C6886" w:rsidRDefault="009C6886" w:rsidP="009C688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Środowisko</w:t>
      </w:r>
    </w:p>
    <w:p w:rsidR="009C6886" w:rsidRPr="009C6886" w:rsidRDefault="009C6886" w:rsidP="009C688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9C688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Zarządzanie Projektem (PM) oraz Zarządzanie Finansowe (FM) w projekcie „Parking </w:t>
      </w:r>
      <w:proofErr w:type="spellStart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gets</w:t>
      </w:r>
      <w:proofErr w:type="spellEnd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smart – podniesienie jakości i digitalizacja zarządzania polityką parkingową ...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ZP_PUMA.1.2019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72224000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świadczenie zewnętrznej usługi koordynacji projektu międzynarodowego oraz wsparcia (zarządzanie projektem, świadczeniu kompleksowych usług doradztwa finansowego w obszarze rozliczania dofinansowania ze środków UE i odbiór projektu) w ramach realizacji projektu pt. „Parking </w:t>
      </w:r>
      <w:proofErr w:type="spellStart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gets</w:t>
      </w:r>
      <w:proofErr w:type="spellEnd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smart – podniesienie jakości i digitalizacja zarządzania polityką parkingową jako narzędzie wspierania ekologicznego i multimodalnego transportu w rejonie Południowego Bałtyku” – współfinansowanym z programu </w:t>
      </w:r>
      <w:proofErr w:type="spellStart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Interreg</w:t>
      </w:r>
      <w:proofErr w:type="spellEnd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południowego Bałtyku, zwanego dalej „Projektem” w celu zapewnienia terminowej, rzetelnej i zgodnej z umową o dofinansowanie realizacji Projektu.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Projekt Parking </w:t>
      </w:r>
      <w:proofErr w:type="spellStart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gets</w:t>
      </w:r>
      <w:proofErr w:type="spellEnd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smart jest wdrażany i współfinansowany w ramach programu </w:t>
      </w:r>
      <w:proofErr w:type="spellStart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Interreg</w:t>
      </w:r>
      <w:proofErr w:type="spellEnd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South</w:t>
      </w:r>
      <w:proofErr w:type="spellEnd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Baltic</w:t>
      </w:r>
      <w:proofErr w:type="spellEnd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Programme</w:t>
      </w:r>
      <w:proofErr w:type="spellEnd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2014-2020 (Oś priorytetowa 3. „Poprawa połączeń transgranicznych na rzecz funkcjonalnego błękitnego i zielonego obszaru transportowego”).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1 149 326.75 PLN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79421100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79412000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PL634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świadczenie zewnętrznej usługi koordynacji projektu międzynarodowego oraz wsparcia (zarządzanie projektem, świadczeniu kompleksowych usług doradztwa finansowego w obszarze rozliczania dofinansowania ze środków UE i odbiór projektu) w ramach realizacji projektu pt. Parking </w:t>
      </w:r>
      <w:proofErr w:type="spellStart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gets</w:t>
      </w:r>
      <w:proofErr w:type="spellEnd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smart – podniesienie jakości i digitalizacja zarządzania polityką parkingową jako narzędzie wspierania ekologicznego i multimodalnego transportu w rejonie Południowego Bałtyku” – współfinansowanym z programu </w:t>
      </w:r>
      <w:proofErr w:type="spellStart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Interreg</w:t>
      </w:r>
      <w:proofErr w:type="spellEnd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południowego Bałtyku, zwanego dalej „Projektem” w celu zapewnienia terminowej, rzetelnej i zgodnej z umową o dofinansowanie realizacji Projektu.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Projekt Parking </w:t>
      </w:r>
      <w:proofErr w:type="spellStart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gets</w:t>
      </w:r>
      <w:proofErr w:type="spellEnd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smart jest wdrażany i współfinansowany w ramach programu </w:t>
      </w:r>
      <w:proofErr w:type="spellStart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Interreg</w:t>
      </w:r>
      <w:proofErr w:type="spellEnd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South</w:t>
      </w:r>
      <w:proofErr w:type="spellEnd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Baltic</w:t>
      </w:r>
      <w:proofErr w:type="spellEnd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Programme</w:t>
      </w:r>
      <w:proofErr w:type="spellEnd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2014-2020 (Oś priorytetowa 3. „Poprawa połączeń transgranicznych na rzecz funkcjonalnego błękitnego i zielonego obszaru transportowego”). Projekt został przyjęty do realizacji w dniu 25.4.2018 roku. Jego 3 letni okres wdrażania trwa od maja 2018 roku do kwietnia 2021 roku.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Ogólnym celem projektu Parking </w:t>
      </w:r>
      <w:proofErr w:type="spellStart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gets</w:t>
      </w:r>
      <w:proofErr w:type="spellEnd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smart jest opracowanie i upowszechnienie innowacyjnych rozwiązań zarządzania parkowaniem wykorzystujących w możliwie dużym stopniu cyfryzację i zaawansowane technologie komunikacji i informacji. Tak więc lokalne i regionalne przejazdy samochodem ulegną redukcji, a zielone i multimodalne formy transportu będą promowane w całym obszarze Południowego Bałtyku. Szczegółową informację na temat dokumentacji powykonawczej i działań przewidywanych w projekcie oraz jego sześciu pakietów roboczych można znaleźć w Formularzu Aplikacyjnym (stanowiącym aneks do niniejszych TOR).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Wiodącym Partnerem projektu jest Polska Unia Mobilności Aktywnej (PUMA)/PL. Partnerstwo obejmuje następujących kwalifikowalnych partnerów projektu, z czterech krajów: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Polska Unia Mobilności Aktywnej / PL (Partner Wiodący);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Miasto Gdańsk / PL;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Akademia Wychowania Fizycznego i Sportu w Gdańsku / PL;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d) Fundacja </w:t>
      </w:r>
      <w:proofErr w:type="spellStart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Interizon</w:t>
      </w:r>
      <w:proofErr w:type="spellEnd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/ PL;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e) Fundacja </w:t>
      </w:r>
      <w:proofErr w:type="spellStart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Pictec</w:t>
      </w:r>
      <w:proofErr w:type="spellEnd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/ PL;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f) Samorząd miejscowości </w:t>
      </w:r>
      <w:proofErr w:type="spellStart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Neringa</w:t>
      </w:r>
      <w:proofErr w:type="spellEnd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/ LT;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g) Zarząd Transportu Publicznego w Kłajpedzie / LT;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h) Izba Przemysłu, Handlu i Rzemiosła w Kłajpedzie / LT;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i) Zarząd miasta </w:t>
      </w:r>
      <w:proofErr w:type="spellStart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Växjö</w:t>
      </w:r>
      <w:proofErr w:type="spellEnd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/ SE;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j) Hanzeatyckie Miasto Brema / DE;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k) Bałtycka Miejscowość Uzdrowiskowa </w:t>
      </w:r>
      <w:proofErr w:type="spellStart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Heringsdorf</w:t>
      </w:r>
      <w:proofErr w:type="spellEnd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Dziesięciu Partnerów Stowarzyszonych uzupełnia konsorcjum projektu (por. załączony Formularz Aplikacyjny zawierający dalsze informacje – załącznik nr 2 do SIWZ).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Postępowanie ma na celu wyłonienie zewnętrznego świadczeniodawcy usług, który będzie wspierał zarządzanie projektem, zarządzanie informacjami i zarządzanie finansowe projektu Parking </w:t>
      </w:r>
      <w:proofErr w:type="spellStart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gets</w:t>
      </w:r>
      <w:proofErr w:type="spellEnd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smart. Wykonawca zapewni wsparcie odnoszące się do wszystkich sześciu pakietów roboczych projektu.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Zarządzanie projektem, zarządzanie informacjami i zarządzanie finansowe projektu Parking </w:t>
      </w:r>
      <w:proofErr w:type="spellStart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gets</w:t>
      </w:r>
      <w:proofErr w:type="spellEnd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smart będzie realizowane w języku angielskim w ścisłym dialogu z Partnerem Wiodącym.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przedstawi, wraz ze swoją ofertą szczegółowy plan pracy i harmonogram wykonywania prac (w tym informacje na temat zaangażowania pracowników w poszczególne zadania), opisujący poszczególne kroki realizacji projektu oraz odpowiednie wsparcie ze strony Wykonawcy w zakresie zarządzania projektem, zarządzania informacjami i zarządzania finansowego, z odniesieniem do zadań wyspecyfikowanych poniżej. Ponadto, Wykonawca przedstawi harmonogram płatności dla Wykonawcy zawierający kamienie milowe projektu, zgodnie z planem pracy, o którym mowa powyżej, jak również określi okresy sporządzania raportów z przebiegu realizacji projektu. Na Wykonawcy spoczywa obowiązek zapewnienia odpowiedniego i wykwalifikowanego personelu dla każdego z wymaganych zadań.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zamówienia przedstawiono w załączniku nr 1 do SIWZ.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nie jest jedynym kryterium udzielenia zamówienia; wszystkie kryteria są wymienione tylko w dokumentacji zamówienia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820 947.68 PLN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21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tak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Opis wznowień: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przewiduje możliwość udzielenia zamówień na podstawie z art. 67 ust. 1 pkt 6 </w:t>
      </w:r>
      <w:proofErr w:type="spellStart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uPzp</w:t>
      </w:r>
      <w:proofErr w:type="spellEnd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 zgodnych z przedmiotem zamówienia podstawowego, o ile wystąpi uzasadniona potrzeba rozszerzenia zamówienia podstawowego i zostaną zapewnione środki finansowe na ten cel.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Łączna wartość zamówień udzielonych na podstawie art. 67 ust. 1 pkt 6 </w:t>
      </w:r>
      <w:proofErr w:type="spellStart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uPzp</w:t>
      </w:r>
      <w:proofErr w:type="spellEnd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nie może przekroczyć 40 % wartości zamówienia podstawowego.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tak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Opis opcji: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Zamawiający przewiduje prawo opcji polegające na powtórzeniu podobnych usług rozliczania projektu i zarządzania projektem, w przypadku wydłużenia terminu realizacji Projektu w okresie maksymalnie dodatkowych 12 miesięcy. W przypadku wydłużenia terminu realizacji Projektu, wynagrodzenie za dodatkowy okres będzie liczone na podstawie złożonej oferty, tzn. miesięczne wynagrodzenie za dodatkowy okres będzie równe wynagrodzeniu miesięcznemu z podstawowego okresu, na który została złożona oferta.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tak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identyfikacyjny projektu: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STHB.03.01.00-22-0136/17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9C6886" w:rsidRPr="009C6886" w:rsidRDefault="009C6886" w:rsidP="009C688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Projekt finansowany przez Europejski Fundusz Rozwoju Regionalnego (EFRR) w ramach Programu Południowego Bałtyku 2014-2020</w:t>
      </w:r>
    </w:p>
    <w:p w:rsidR="009C6886" w:rsidRPr="009C6886" w:rsidRDefault="009C6886" w:rsidP="009C688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9C688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stawia szczegółowych warunków w tym zakresie.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spełni warunek udziału w postępowaniu dotyczący sytuacji ekonomicznej i finansowej, tj. wykaże, że: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posiada ubezpieczenie od odpowiedzialności cywilnej OC w zakresie prowadzonej działalności związanej z przedmiotem zamówienia na kwotę nie mniejszą niż 500 000 PLN (słownie: pięćset tysięcy złotych 00/100).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spełni warunki udziału w postępowaniu dotyczące zdolności zawodowej jeżeli wykaże, że: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w okresie ostatnich 3 lat przed upływem terminu składania ofert, a jeżeli okres prowadzenia działalności jest krótszy – w tym okresie, Wykonawca świadczył, bądź świadczy na rzecz jednego lub wielu podmiotów następujące usługi: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A/ co najmniej 1 (jedną) usługę zarządzania polegającą na rozliczeniu projektu zgodnie z przepisami prawa polskiego i unijnego, dokumentami programowymi oraz wytycznymi i regułami obowiązującymi beneficjentów Funduszy Europejskich, spełniającą następujące wymagania: wartość rozliczanego projektu minimum 1 000 000,00 PLN brutto (słownie: jeden milion złotych 00/100);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B/ co najmniej 1 (jedną) usługę polegającą na międzynarodowej współpracy i wymianie wiedzy w obszarze zarządzania transportem multimodalnym (np. koordynacja tematyczna odpowiednich projektów, wdrażanie opracowań eksperckich z perspektywą międzynarodową, wdrażanie międzynarodowych konferencji i warsztatów etc.);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C/ co najmniej 1 (jedną) usługę polegającą na opracowaniu i wdrażaniu opartych o technologie informatyczne i komputerowe systemów zarządzania mobilnością w czasie rzeczywistym oraz aplikacji planowania podróży;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dysponuje osobami, skierowanymi do realizacji zamówienia (wskazanymi w formularzu ofertowym jako osoby realizujące zamówienie), zgodnie z poniższymi wymaganiami, tj.: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musi wykazać, że w trakcie realizacji zamówienia dysponować będzie zespołem, w skład którego wchodzić będą specjaliści posiadający wiedzę oraz doświadczenie niezbędne do realizacji projektu, w tym co najmniej osoby o następujących kwalifikacjach (wszystkie wymagania dla osób na danym stanowisku muszą być spełnione łącznie):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Specjalista ds. zarządzania projektem w </w:t>
      </w:r>
      <w:proofErr w:type="spellStart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projekcie_koordynator</w:t>
      </w:r>
      <w:proofErr w:type="spellEnd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projektu (1)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nabył minimum 5-letnie doświadczenie w zarządzaniu projektami finansowanymi lub współfinansowanymi ze środków UE;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w ciągu ostatnich 10 lat pełnił funkcję Koordynatora Projektu w co najmniej 2 zakończonych sukcesem projektach finansowanych lub współfinansowanych ze środków UE o budżecie nie mniejszym, niż 1 000 000,00 PLN brutto każdy;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posiada znajomość zasad i procedur realizacji projektów finansowanych lub współfinansowanych w ramach Programu Południowego Bałtyku 2014-2020;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Specjalista ds. zarządzania finansowego projektu (1)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posiada co najmniej 5-letnie doświadczenie zawodowe w zakresie rozliczania, sporządzania wniosków o płatność i sprawozdawczości finansowej projektów, finansowanych lub współfinansowanych ze środków europejskich;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w ciągu ostatnich 10 lat brał udział w realizacji co najmniej 2 projektów, o wartości każdego projektu co najmniej 1 000 000,00 PLN, w których odpowiedzialny był za rozliczanie projektu, prowadzenie harmonogramów rzeczowo-finansowych, ocenę kwalifikowalności wydatków i sporządzanie wniosków o płatność;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posiada znajomość przepisów ustawy o finansach publicznych oraz ustawy o rachunkowości;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d) posiada znajomość zasad rozliczania i sprawozdawczości pod względem finansowym projektów finansowanych lub współfinansowanych w ramach Programu Południowego Bałtyku 2014-2020;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III.2.1)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dotyczące określonego zawodu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Wzór Umowy stanowi Rozdział 16 SIWZ.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9C6886" w:rsidRPr="009C6886" w:rsidRDefault="009C6886" w:rsidP="009C688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Obowiązek podania imion i nazwisk oraz kwalifikacji zawodowych pracowników wyznaczonych do wykonania zamówienia</w:t>
      </w:r>
    </w:p>
    <w:p w:rsidR="009C6886" w:rsidRPr="009C6886" w:rsidRDefault="009C6886" w:rsidP="009C688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9C688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IV.1.6)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04/08/2019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musi zachować ważność do: 01/10/2019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04/08/2019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13:00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4.8.2019 roku o godz. 13:00 w siedzibie Zamawiającego – Polska Unia Mobilności Aktywnej, ul. Heweliusza 29, 80-861 Gdańsk, POLSKA.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Informacje o osobach upoważnionych i procedurze otwarcia: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Otwarcie ofert następuje poprzez użycie aplikacji do szyfrowania ofert dostępnej na </w:t>
      </w:r>
      <w:proofErr w:type="spellStart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miniPortalu</w:t>
      </w:r>
      <w:proofErr w:type="spellEnd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 dokonywane jest poprzez odszyfrowanie i otwarcie ofert za pomocą klucza prywatnego.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Otwarcie ofert jest jawne, Wykonawcy mogą uczestniczyć w sesji otwarcia ofert.</w:t>
      </w:r>
    </w:p>
    <w:p w:rsidR="009C6886" w:rsidRPr="009C6886" w:rsidRDefault="009C6886" w:rsidP="009C688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Niezwłocznie po otwarciu ofert Zamawiający zamieści na stronie internetowej informację z otwarcia ofert.</w:t>
      </w:r>
    </w:p>
    <w:p w:rsidR="009C6886" w:rsidRPr="009C6886" w:rsidRDefault="009C6886" w:rsidP="009C688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9C688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Akceptowane będą faktury elektroniczne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terminie 3 dni od zamieszczenia (przez Zamawiającego) na stronie internetowej informacji z otwarcia ofert, Wykonawca przekazuje Zamawiającemu oświadczenie o przynależności lub braku przynależności do tej samej grupy kapitałowej z pozostałymi Wykonawcami, którzy złożyli oferty – zgodnie z wzorem nr 1 zawartym w Rozdziale 18 SIWZ. Wraz ze złożeniem oświadczenia, Wykonawca może przedstawić dowody, że powiązania z innym Wykonawcą nie prowadzą do zakłócenia konkurencji w postępowaniu o udzielenie zamówienia.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Zamawiający, zgodnie z art. 24 aa </w:t>
      </w:r>
      <w:proofErr w:type="spellStart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uPzp</w:t>
      </w:r>
      <w:proofErr w:type="spellEnd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 przewiduje możliwość w pierwszej kolejności dokonania oceny ofert, a następnie zbadania czy Wykonawca, którego oferta została oceniona jako najkorzystniejsza, nie podlega wykluczeniu oraz spełnia warunki udziału w postępowaniu.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przystępujący do postępowania obowiązany jest do wniesienia wadium.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Wysokość wadium wynosi: 30 000,00 PLN (słownie: trzydzieści tysięcy 00/100 PLN).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Proponowane (zastosowane) podejście i metodologię zarządzania projektem „Koncepcję realizacji zamówienia” oraz proponowane (zastosowane) podejście i metodologię zarządzania finansowego projektem opracowane przez Wykonawcę należy złożyć wraz z ofertą.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Krajowa Izba Odwoławcza</w:t>
      </w: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5" w:history="1">
        <w:r w:rsidRPr="009C688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odwolania@uzp.gov.pl</w:t>
        </w:r>
      </w:hyperlink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16" w:tgtFrame="_blank" w:history="1">
        <w:r w:rsidRPr="009C688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https://www.uzp.gov.pl/kio</w:t>
        </w:r>
      </w:hyperlink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Środki ochrony prawnej określone w Dziale VI </w:t>
      </w:r>
      <w:proofErr w:type="spellStart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uPzp</w:t>
      </w:r>
      <w:proofErr w:type="spellEnd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, przysługują Wykonawcy, a także innemu podmiotowi, jeżeli ma lub miał interes w uzyskaniu danego zamówienia oraz poniósł lub może ponieść szkodę w wyniku naruszenia przez Zamawiającego przepisów </w:t>
      </w:r>
      <w:proofErr w:type="spellStart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uPzp</w:t>
      </w:r>
      <w:proofErr w:type="spellEnd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Środki ochrony prawnej wobec ogłoszenia o zamówieniu oraz SIWZ przysługują również organizacjom wpisanym na listę, o której mowa w art. 154 pkt 5 </w:t>
      </w:r>
      <w:proofErr w:type="spellStart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uPzp</w:t>
      </w:r>
      <w:proofErr w:type="spellEnd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Odwołanie przysługuje wyłącznie od niezgodnej z przepisami </w:t>
      </w:r>
      <w:proofErr w:type="spellStart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uPzp</w:t>
      </w:r>
      <w:proofErr w:type="spellEnd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czynności Zamawiającego podjętej w postępowaniu o udzielenie zamówienia lub zaniechaniu czynności, do której Zamawiający jest zobowiązany na podstawie </w:t>
      </w:r>
      <w:proofErr w:type="spellStart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uPzp</w:t>
      </w:r>
      <w:proofErr w:type="spellEnd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Odwołanie wnosi się do Prezesa Izby w formie pisemnej w postaci papierowej albo w postaci elektronicznej, opatrzone odpowiednio własnoręcznym podpisem albo kwalifikowanym podpisem elektronicznym.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Odwołanie wnosi się w terminie 10 dni od dnia przesłania informacji o czynności Zamawiającego stanowiącej podstawę jego wniesienia – jeżeli zostały przesłane w sposób określony w art. 180 ust. 5 </w:t>
      </w:r>
      <w:proofErr w:type="spellStart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uPzp</w:t>
      </w:r>
      <w:proofErr w:type="spellEnd"/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zdanie drugie albo w terminie 15 dni – jeżeli zostały przesłane w inny sposób.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Odwołanie wobec treści ogłoszenia o zamówieniu oraz wobec postanowień SIWZ wnosi się w terminie 10 dni od dnia publikacji ogłoszenia w Dzienniku Urzędowym Unii Europejskiej lub zamieszczenia SIWZ na stronie internetowej.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Odwołanie wobec czynności innych niż określone w ust. 5 i 6 wnosi się w terminie 10 dni od dnia, w którym powzięto lub przy zachowaniu należytej staranności można było powziąć wiadomość o okolicznościach stanowiących podstawę jego wniesienia.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Izba rozpoznaje odwołanie w terminie 15 dni od dnia jego doręczenia Prezesowi Izby.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oddaleniu odwołania lub jego uwzględnieniu Izba orzeka w wyroku. W pozostałych przypadkach Izba wydaje postanowienie.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Na orzeczenie Izby stronom oraz uczestnikom postępowania odwoławczego przysługuje skarga do sądu. Skargę wnosi się do sądu okręgowego właściwego dla siedziby albo miejsca zamieszkania Zamawiającego.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Skargę wnosi się za pośrednictwem Prezesa Izby w terminie 7 dni od dnia doręczenia orzeczenia Izby, przesyłając jednocześnie jej odpis przeciwnikowi skargi. Prezes Izby przekazuje skargę wraz z aktami postępowania odwoławczego właściwemu sądowi w terminie 7 dni od dnia jej otrzymania.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Sąd rozpoznaje sprawę niezwłocznie, nie później jednak niż w terminie 1 miesiąca od dnia wpływu skargi do sądu. Sąd oddala skargę wyrokiem, jeżeli jest ona bezzasadna. W przypadku uwzględnienia skargi sąd zmienia zaskarżone orzeczenie i orzeka wyrokiem co do istoty sprawy, a w pozostałych sprawach wydaje postanowienie.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 wyroku sądu lub postanowienia kończącego postępowanie w sprawie nie przysługuje skarga kasacyjna.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Krajowa Izba Odwoławcza</w:t>
      </w: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7" w:history="1">
        <w:r w:rsidRPr="009C688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odwolania@uzp.gov.pl</w:t>
        </w:r>
      </w:hyperlink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18" w:tgtFrame="_blank" w:history="1">
        <w:r w:rsidRPr="009C688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https://www.uzp.gov.pl/kio</w:t>
        </w:r>
      </w:hyperlink>
    </w:p>
    <w:p w:rsidR="009C6886" w:rsidRPr="009C6886" w:rsidRDefault="009C6886" w:rsidP="009C68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9C68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9C6886" w:rsidRPr="009C6886" w:rsidRDefault="009C6886" w:rsidP="009C688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C68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27/06/2019</w:t>
      </w:r>
    </w:p>
    <w:p w:rsidR="0027300C" w:rsidRDefault="0027300C"/>
    <w:sectPr w:rsidR="00273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86"/>
    <w:rsid w:val="0027300C"/>
    <w:rsid w:val="009C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17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958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54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935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248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116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44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392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35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1354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06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74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952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082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94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302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18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11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5779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747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55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6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823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833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418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57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831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6573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25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5003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64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771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27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013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9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843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3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099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73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75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9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67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5711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91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181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29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787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69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836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471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671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58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41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70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66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964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01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786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81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56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8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891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586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15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88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471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850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5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2610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21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22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93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4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8903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29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09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488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023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4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11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16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63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8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897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294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39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5738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88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53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10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672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11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3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75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36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5171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98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52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58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68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7552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01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17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711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83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4440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036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12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4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31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09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88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8342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28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00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771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35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1054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31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9509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12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81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1544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892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69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16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620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29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238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3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ansk.pl/" TargetMode="External"/><Relationship Id="rId13" Type="http://schemas.openxmlformats.org/officeDocument/2006/relationships/hyperlink" Target="https://mobilnosc.org/" TargetMode="External"/><Relationship Id="rId18" Type="http://schemas.openxmlformats.org/officeDocument/2006/relationships/hyperlink" Target="https://www.uzp.gov.pl/ki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g@gdansk.gda.pl?subject=TED" TargetMode="External"/><Relationship Id="rId12" Type="http://schemas.openxmlformats.org/officeDocument/2006/relationships/hyperlink" Target="http://www.gemeinde-ostseebad-heringsdorf.de/" TargetMode="External"/><Relationship Id="rId17" Type="http://schemas.openxmlformats.org/officeDocument/2006/relationships/hyperlink" Target="mailto:odwolania@uzp.gov.pl?subject=TE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uzp.gov.pl/ki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obilnosc.org/" TargetMode="External"/><Relationship Id="rId11" Type="http://schemas.openxmlformats.org/officeDocument/2006/relationships/hyperlink" Target="mailto:sekretariat@ahlbeck.de?subject=TED" TargetMode="External"/><Relationship Id="rId5" Type="http://schemas.openxmlformats.org/officeDocument/2006/relationships/hyperlink" Target="mailto:info@mobilnosc.org?subject=TED" TargetMode="External"/><Relationship Id="rId15" Type="http://schemas.openxmlformats.org/officeDocument/2006/relationships/hyperlink" Target="mailto:odwolania@uzp.gov.pl?subject=TED" TargetMode="External"/><Relationship Id="rId10" Type="http://schemas.openxmlformats.org/officeDocument/2006/relationships/hyperlink" Target="https://pictec.e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mian.derebecki@pictec.eu?subject=TED" TargetMode="External"/><Relationship Id="rId14" Type="http://schemas.openxmlformats.org/officeDocument/2006/relationships/hyperlink" Target="https://mobilnosc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2915</Words>
  <Characters>17491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Stupakowska</dc:creator>
  <cp:lastModifiedBy>Małgorzata Stupakowska</cp:lastModifiedBy>
  <cp:revision>1</cp:revision>
  <dcterms:created xsi:type="dcterms:W3CDTF">2019-07-02T08:11:00Z</dcterms:created>
  <dcterms:modified xsi:type="dcterms:W3CDTF">2019-07-02T08:22:00Z</dcterms:modified>
</cp:coreProperties>
</file>